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9E" w:rsidRPr="00B1179E" w:rsidRDefault="00B1179E" w:rsidP="00B1179E">
      <w:pPr>
        <w:pBdr>
          <w:top w:val="single" w:sz="4" w:space="1" w:color="auto"/>
          <w:left w:val="single" w:sz="4" w:space="4" w:color="auto"/>
          <w:bottom w:val="single" w:sz="4" w:space="1" w:color="auto"/>
          <w:right w:val="single" w:sz="4" w:space="4" w:color="auto"/>
        </w:pBdr>
        <w:jc w:val="center"/>
        <w:rPr>
          <w:b/>
          <w:sz w:val="24"/>
          <w:szCs w:val="24"/>
        </w:rPr>
      </w:pPr>
      <w:bookmarkStart w:id="0" w:name="_GoBack"/>
      <w:bookmarkEnd w:id="0"/>
      <w:r w:rsidRPr="00B1179E">
        <w:rPr>
          <w:b/>
          <w:sz w:val="24"/>
          <w:szCs w:val="24"/>
        </w:rPr>
        <w:t>ENKELE KERNCIJFERS</w:t>
      </w:r>
    </w:p>
    <w:p w:rsidR="00B1179E" w:rsidRDefault="00B1179E" w:rsidP="0088022A">
      <w:pPr>
        <w:jc w:val="both"/>
        <w:rPr>
          <w:sz w:val="24"/>
          <w:szCs w:val="24"/>
        </w:rPr>
      </w:pPr>
    </w:p>
    <w:p w:rsidR="00B1179E" w:rsidRPr="006C50CD" w:rsidRDefault="00B1179E" w:rsidP="00B1179E">
      <w:pPr>
        <w:spacing w:after="120"/>
        <w:jc w:val="center"/>
        <w:rPr>
          <w:sz w:val="32"/>
          <w:szCs w:val="24"/>
        </w:rPr>
      </w:pPr>
      <w:r w:rsidRPr="006C50CD">
        <w:rPr>
          <w:rFonts w:ascii="Calibri" w:hAnsi="Calibri"/>
          <w:b/>
          <w:sz w:val="24"/>
        </w:rPr>
        <w:t>Bevolking naar leeftijd en geslacht in West-Vlaanderen, 1 januari 2003, 1 januari 2013 en 1 januari 2023</w:t>
      </w:r>
    </w:p>
    <w:p w:rsidR="00B1179E" w:rsidRDefault="00B1179E" w:rsidP="00B1179E">
      <w:pPr>
        <w:jc w:val="center"/>
        <w:rPr>
          <w:rFonts w:ascii="Calibri" w:hAnsi="Calibri"/>
          <w:b/>
          <w:sz w:val="20"/>
        </w:rPr>
      </w:pPr>
      <w:r w:rsidRPr="000C0A00">
        <w:rPr>
          <w:noProof/>
          <w:sz w:val="24"/>
          <w:szCs w:val="24"/>
        </w:rPr>
        <w:drawing>
          <wp:inline distT="0" distB="0" distL="0" distR="0">
            <wp:extent cx="5760574" cy="29241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027" b="4721"/>
                    <a:stretch/>
                  </pic:blipFill>
                  <pic:spPr bwMode="auto">
                    <a:xfrm>
                      <a:off x="0" y="0"/>
                      <a:ext cx="5760574" cy="2924175"/>
                    </a:xfrm>
                    <a:prstGeom prst="rect">
                      <a:avLst/>
                    </a:prstGeom>
                    <a:noFill/>
                    <a:ln>
                      <a:noFill/>
                    </a:ln>
                    <a:extLst>
                      <a:ext uri="{53640926-AAD7-44D8-BBD7-CCE9431645EC}">
                        <a14:shadowObscured xmlns:a14="http://schemas.microsoft.com/office/drawing/2010/main"/>
                      </a:ext>
                    </a:extLst>
                  </pic:spPr>
                </pic:pic>
              </a:graphicData>
            </a:graphic>
          </wp:inline>
        </w:drawing>
      </w:r>
    </w:p>
    <w:p w:rsidR="00B1179E" w:rsidRPr="002E15F6" w:rsidRDefault="00B1179E" w:rsidP="00B1179E">
      <w:pPr>
        <w:spacing w:after="0"/>
        <w:jc w:val="center"/>
        <w:rPr>
          <w:sz w:val="18"/>
          <w:szCs w:val="24"/>
        </w:rPr>
      </w:pPr>
      <w:r>
        <w:rPr>
          <w:sz w:val="18"/>
          <w:szCs w:val="24"/>
        </w:rPr>
        <w:t xml:space="preserve">Bron: FOD Economie (ADSEI), Rijksregister (1 januari 2003 en 1 januari 2013), Bevolkingsprognoses Provincie West-Vlaanderen </w:t>
      </w:r>
      <w:proofErr w:type="spellStart"/>
      <w:r>
        <w:rPr>
          <w:sz w:val="18"/>
          <w:szCs w:val="24"/>
        </w:rPr>
        <w:t>i.k.v</w:t>
      </w:r>
      <w:proofErr w:type="spellEnd"/>
      <w:r>
        <w:rPr>
          <w:sz w:val="18"/>
          <w:szCs w:val="24"/>
        </w:rPr>
        <w:t xml:space="preserve">. DC </w:t>
      </w:r>
      <w:proofErr w:type="spellStart"/>
      <w:r>
        <w:rPr>
          <w:sz w:val="18"/>
          <w:szCs w:val="24"/>
        </w:rPr>
        <w:t>Noise</w:t>
      </w:r>
      <w:proofErr w:type="spellEnd"/>
      <w:r>
        <w:rPr>
          <w:sz w:val="18"/>
          <w:szCs w:val="24"/>
        </w:rPr>
        <w:t xml:space="preserve"> (1 januari 2023), Verwerking: Afdeling DSA, POM West-Vlaanderen.</w:t>
      </w:r>
    </w:p>
    <w:p w:rsidR="00B1179E" w:rsidRDefault="00B1179E" w:rsidP="00B1179E">
      <w:pPr>
        <w:rPr>
          <w:b/>
          <w:sz w:val="24"/>
          <w:szCs w:val="24"/>
        </w:rPr>
      </w:pPr>
    </w:p>
    <w:p w:rsidR="00B1179E" w:rsidRDefault="00B1179E" w:rsidP="00B1179E">
      <w:pPr>
        <w:rPr>
          <w:sz w:val="24"/>
          <w:szCs w:val="24"/>
        </w:rPr>
      </w:pPr>
      <w:r w:rsidRPr="00CD3F67">
        <w:rPr>
          <w:noProof/>
          <w:sz w:val="24"/>
          <w:szCs w:val="24"/>
        </w:rPr>
        <w:drawing>
          <wp:inline distT="0" distB="0" distL="0" distR="0">
            <wp:extent cx="6115050" cy="2981325"/>
            <wp:effectExtent l="19050" t="0" r="19050" b="0"/>
            <wp:docPr id="3"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179E" w:rsidRDefault="00B1179E" w:rsidP="00B1179E">
      <w:pPr>
        <w:jc w:val="center"/>
        <w:rPr>
          <w:sz w:val="18"/>
          <w:szCs w:val="24"/>
        </w:rPr>
      </w:pPr>
      <w:r>
        <w:rPr>
          <w:sz w:val="18"/>
          <w:szCs w:val="24"/>
        </w:rPr>
        <w:t xml:space="preserve">Bron: FOD Economie (ADSEI), Rijksregister (1 januari 2003 en  1 januari 2013), Bevolkingsprognoses Provincie West-Vlaanderen </w:t>
      </w:r>
      <w:proofErr w:type="spellStart"/>
      <w:r>
        <w:rPr>
          <w:sz w:val="18"/>
          <w:szCs w:val="24"/>
        </w:rPr>
        <w:t>i.k.v</w:t>
      </w:r>
      <w:proofErr w:type="spellEnd"/>
      <w:r>
        <w:rPr>
          <w:sz w:val="18"/>
          <w:szCs w:val="24"/>
        </w:rPr>
        <w:t>. DC NOISE (1 januari 2023), Verwerking: Afdeling DSA, POM West-Vlaanderen.</w:t>
      </w:r>
    </w:p>
    <w:p w:rsidR="00B1179E" w:rsidRPr="00692F57" w:rsidRDefault="00692F57" w:rsidP="00692F57">
      <w:pPr>
        <w:pStyle w:val="Geenafstand"/>
        <w:rPr>
          <w:sz w:val="20"/>
          <w:szCs w:val="20"/>
        </w:rPr>
      </w:pPr>
      <w:r w:rsidRPr="00692F57">
        <w:rPr>
          <w:b/>
          <w:sz w:val="20"/>
          <w:szCs w:val="20"/>
        </w:rPr>
        <w:t>Ouderdomscoëfficiënt:</w:t>
      </w:r>
      <w:r w:rsidRPr="00692F57">
        <w:rPr>
          <w:sz w:val="20"/>
          <w:szCs w:val="20"/>
        </w:rPr>
        <w:t xml:space="preserve"> Bevolking van 60 jaar en ouder ten opzichte van de bevolking jonger dan 20 jaar.</w:t>
      </w:r>
    </w:p>
    <w:p w:rsidR="00692F57" w:rsidRPr="00692F57" w:rsidRDefault="00692F57" w:rsidP="00692F57">
      <w:pPr>
        <w:pStyle w:val="Geenafstand"/>
        <w:rPr>
          <w:sz w:val="20"/>
          <w:szCs w:val="20"/>
        </w:rPr>
      </w:pPr>
      <w:r w:rsidRPr="00692F57">
        <w:rPr>
          <w:b/>
          <w:sz w:val="20"/>
          <w:szCs w:val="20"/>
        </w:rPr>
        <w:t>Afhankelijkheidsratio:</w:t>
      </w:r>
      <w:r w:rsidRPr="00692F57">
        <w:rPr>
          <w:sz w:val="20"/>
          <w:szCs w:val="20"/>
        </w:rPr>
        <w:t xml:space="preserve"> Bevolking van 60 jaar en ouder en bevolking jonger dan 20 jaar ten opzichte van de bevolking van 20 tot 60 jaar. Deze ratio is een benadering voor het percentage niet-actieven ten opzichte van het aantal actieven.</w:t>
      </w:r>
    </w:p>
    <w:p w:rsidR="00692F57" w:rsidRPr="00692F57" w:rsidRDefault="00692F57" w:rsidP="00692F57">
      <w:pPr>
        <w:pStyle w:val="Geenafstand"/>
        <w:rPr>
          <w:sz w:val="20"/>
          <w:szCs w:val="20"/>
        </w:rPr>
      </w:pPr>
      <w:r w:rsidRPr="00692F57">
        <w:rPr>
          <w:b/>
          <w:sz w:val="20"/>
          <w:szCs w:val="20"/>
        </w:rPr>
        <w:t>Interne vergrijzing:</w:t>
      </w:r>
      <w:r w:rsidRPr="00692F57">
        <w:rPr>
          <w:sz w:val="20"/>
          <w:szCs w:val="20"/>
        </w:rPr>
        <w:t xml:space="preserve"> Bevolking van 80 jaar en ouder ten opzichte van de bevolking van 60 jaar en ouder. Dit is een maat voor het aandeel hoogbejaarden in de oudere bevolking.</w:t>
      </w:r>
    </w:p>
    <w:p w:rsidR="00692F57" w:rsidRPr="00692F57" w:rsidRDefault="00692F57" w:rsidP="00692F57">
      <w:pPr>
        <w:pStyle w:val="Geenafstand"/>
        <w:rPr>
          <w:sz w:val="20"/>
          <w:szCs w:val="20"/>
        </w:rPr>
      </w:pPr>
      <w:r w:rsidRPr="00692F57">
        <w:rPr>
          <w:b/>
          <w:sz w:val="20"/>
          <w:szCs w:val="20"/>
        </w:rPr>
        <w:lastRenderedPageBreak/>
        <w:t>Doorstromingscoëfficiënt:</w:t>
      </w:r>
      <w:r w:rsidRPr="00692F57">
        <w:rPr>
          <w:sz w:val="20"/>
          <w:szCs w:val="20"/>
        </w:rPr>
        <w:t xml:space="preserve"> Bevolking van 15 tot 24 jaar ten opzichte van de bevolking van 55 tot 64 jaar. Deze ratio is een indicatie voor de mate waarin - vanuit demografisch oogpunt - de potentiële uitstroom uit de arbeidsmarkt kan worden opgevangen door de potentiële instroom.</w:t>
      </w:r>
    </w:p>
    <w:p w:rsidR="00692F57" w:rsidRPr="008A286E" w:rsidRDefault="00692F57" w:rsidP="00692F57">
      <w:pPr>
        <w:rPr>
          <w:sz w:val="24"/>
          <w:szCs w:val="24"/>
        </w:rPr>
      </w:pPr>
    </w:p>
    <w:p w:rsidR="00B1179E" w:rsidRDefault="00B1179E" w:rsidP="00B1179E">
      <w:pPr>
        <w:jc w:val="center"/>
      </w:pPr>
      <w:r w:rsidRPr="00EC31DB">
        <w:rPr>
          <w:noProof/>
        </w:rPr>
        <w:drawing>
          <wp:inline distT="0" distB="0" distL="0" distR="0">
            <wp:extent cx="5582093" cy="3795824"/>
            <wp:effectExtent l="0" t="0" r="19050" b="14605"/>
            <wp:docPr id="4"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179E" w:rsidRDefault="00B1179E" w:rsidP="00B1179E">
      <w:pPr>
        <w:rPr>
          <w:b/>
          <w:sz w:val="24"/>
          <w:szCs w:val="24"/>
        </w:rPr>
      </w:pPr>
      <w:r>
        <w:rPr>
          <w:sz w:val="18"/>
        </w:rPr>
        <w:t xml:space="preserve">Bron: </w:t>
      </w:r>
      <w:r w:rsidRPr="00B44445">
        <w:rPr>
          <w:sz w:val="18"/>
        </w:rPr>
        <w:t xml:space="preserve">Demografische veranderingen en uitdagingen voor de West-Vlaamse regio's, Facetten van West-Vlaanderen </w:t>
      </w:r>
      <w:proofErr w:type="spellStart"/>
      <w:r w:rsidRPr="00B44445">
        <w:rPr>
          <w:sz w:val="18"/>
        </w:rPr>
        <w:t>nr</w:t>
      </w:r>
      <w:proofErr w:type="spellEnd"/>
      <w:r w:rsidRPr="00B44445">
        <w:rPr>
          <w:sz w:val="18"/>
        </w:rPr>
        <w:t xml:space="preserve"> 58, WES</w:t>
      </w:r>
      <w:r>
        <w:rPr>
          <w:b/>
          <w:sz w:val="24"/>
          <w:szCs w:val="24"/>
        </w:rPr>
        <w:t xml:space="preserve"> </w:t>
      </w:r>
    </w:p>
    <w:p w:rsidR="00B1179E" w:rsidRDefault="00B1179E" w:rsidP="00B1179E">
      <w:pPr>
        <w:rPr>
          <w:b/>
          <w:sz w:val="24"/>
          <w:szCs w:val="24"/>
        </w:rPr>
      </w:pPr>
    </w:p>
    <w:tbl>
      <w:tblPr>
        <w:tblStyle w:val="Gemiddeldelijst2-accent1"/>
        <w:tblW w:w="0" w:type="auto"/>
        <w:tblLook w:val="04A0" w:firstRow="1" w:lastRow="0" w:firstColumn="1" w:lastColumn="0" w:noHBand="0" w:noVBand="1"/>
      </w:tblPr>
      <w:tblGrid>
        <w:gridCol w:w="2348"/>
        <w:gridCol w:w="2348"/>
        <w:gridCol w:w="2348"/>
        <w:gridCol w:w="2348"/>
      </w:tblGrid>
      <w:tr w:rsidR="00B1179E" w:rsidRPr="00A126B7" w:rsidTr="00DE5E8E">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2348" w:type="dxa"/>
          </w:tcPr>
          <w:p w:rsidR="00B1179E" w:rsidRPr="00A126B7" w:rsidRDefault="00B1179E" w:rsidP="00DE5E8E">
            <w:pPr>
              <w:jc w:val="both"/>
              <w:rPr>
                <w:sz w:val="20"/>
                <w:szCs w:val="20"/>
              </w:rPr>
            </w:pPr>
          </w:p>
        </w:tc>
        <w:tc>
          <w:tcPr>
            <w:tcW w:w="2348" w:type="dxa"/>
          </w:tcPr>
          <w:p w:rsidR="00B1179E" w:rsidRPr="00A126B7" w:rsidRDefault="00B1179E" w:rsidP="00DE5E8E">
            <w:pPr>
              <w:jc w:val="both"/>
              <w:cnfStyle w:val="100000000000" w:firstRow="1" w:lastRow="0" w:firstColumn="0" w:lastColumn="0" w:oddVBand="0" w:evenVBand="0" w:oddHBand="0" w:evenHBand="0" w:firstRowFirstColumn="0" w:firstRowLastColumn="0" w:lastRowFirstColumn="0" w:lastRowLastColumn="0"/>
              <w:rPr>
                <w:b/>
                <w:sz w:val="16"/>
                <w:szCs w:val="16"/>
              </w:rPr>
            </w:pPr>
            <w:r w:rsidRPr="00A126B7">
              <w:rPr>
                <w:b/>
                <w:sz w:val="16"/>
                <w:szCs w:val="16"/>
              </w:rPr>
              <w:t>Werkloosheidsgraad</w:t>
            </w:r>
          </w:p>
        </w:tc>
        <w:tc>
          <w:tcPr>
            <w:tcW w:w="2348" w:type="dxa"/>
          </w:tcPr>
          <w:p w:rsidR="00B1179E" w:rsidRPr="00A126B7" w:rsidRDefault="00B1179E" w:rsidP="00DE5E8E">
            <w:pPr>
              <w:jc w:val="both"/>
              <w:cnfStyle w:val="100000000000" w:firstRow="1" w:lastRow="0" w:firstColumn="0" w:lastColumn="0" w:oddVBand="0" w:evenVBand="0" w:oddHBand="0" w:evenHBand="0" w:firstRowFirstColumn="0" w:firstRowLastColumn="0" w:lastRowFirstColumn="0" w:lastRowLastColumn="0"/>
              <w:rPr>
                <w:b/>
                <w:sz w:val="16"/>
                <w:szCs w:val="16"/>
              </w:rPr>
            </w:pPr>
            <w:r w:rsidRPr="00A126B7">
              <w:rPr>
                <w:b/>
                <w:sz w:val="16"/>
                <w:szCs w:val="16"/>
              </w:rPr>
              <w:t>Aantal werkzoekenden</w:t>
            </w:r>
          </w:p>
        </w:tc>
        <w:tc>
          <w:tcPr>
            <w:tcW w:w="2348" w:type="dxa"/>
          </w:tcPr>
          <w:p w:rsidR="00B1179E" w:rsidRPr="00A126B7" w:rsidRDefault="00B1179E" w:rsidP="00DE5E8E">
            <w:pPr>
              <w:jc w:val="both"/>
              <w:cnfStyle w:val="100000000000" w:firstRow="1" w:lastRow="0" w:firstColumn="0" w:lastColumn="0" w:oddVBand="0" w:evenVBand="0" w:oddHBand="0" w:evenHBand="0" w:firstRowFirstColumn="0" w:firstRowLastColumn="0" w:lastRowFirstColumn="0" w:lastRowLastColumn="0"/>
              <w:rPr>
                <w:b/>
                <w:sz w:val="16"/>
                <w:szCs w:val="16"/>
              </w:rPr>
            </w:pPr>
            <w:r w:rsidRPr="00A126B7">
              <w:rPr>
                <w:b/>
                <w:sz w:val="16"/>
                <w:szCs w:val="16"/>
              </w:rPr>
              <w:t>Aantal openstaande vacatures</w:t>
            </w:r>
          </w:p>
        </w:tc>
      </w:tr>
      <w:tr w:rsidR="00B1179E" w:rsidTr="00DE5E8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48" w:type="dxa"/>
          </w:tcPr>
          <w:p w:rsidR="00B1179E" w:rsidRPr="00A126B7" w:rsidRDefault="00B1179E" w:rsidP="00DE5E8E">
            <w:pPr>
              <w:jc w:val="both"/>
              <w:rPr>
                <w:sz w:val="20"/>
                <w:szCs w:val="20"/>
              </w:rPr>
            </w:pPr>
            <w:r w:rsidRPr="00A126B7">
              <w:rPr>
                <w:sz w:val="20"/>
                <w:szCs w:val="20"/>
              </w:rPr>
              <w:t>Vlaams Gewest</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8,27</w:t>
            </w:r>
            <w:r w:rsidRPr="00A126B7">
              <w:rPr>
                <w:sz w:val="20"/>
                <w:szCs w:val="20"/>
              </w:rPr>
              <w:t>%</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245.472</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42.112</w:t>
            </w:r>
          </w:p>
        </w:tc>
      </w:tr>
      <w:tr w:rsidR="00B1179E" w:rsidTr="00DE5E8E">
        <w:trPr>
          <w:trHeight w:val="299"/>
        </w:trPr>
        <w:tc>
          <w:tcPr>
            <w:cnfStyle w:val="001000000000" w:firstRow="0" w:lastRow="0" w:firstColumn="1" w:lastColumn="0" w:oddVBand="0" w:evenVBand="0" w:oddHBand="0" w:evenHBand="0" w:firstRowFirstColumn="0" w:firstRowLastColumn="0" w:lastRowFirstColumn="0" w:lastRowLastColumn="0"/>
            <w:tcW w:w="2348" w:type="dxa"/>
          </w:tcPr>
          <w:p w:rsidR="00B1179E" w:rsidRPr="00A126B7" w:rsidRDefault="00B1179E" w:rsidP="00DE5E8E">
            <w:pPr>
              <w:jc w:val="both"/>
              <w:rPr>
                <w:sz w:val="20"/>
                <w:szCs w:val="20"/>
              </w:rPr>
            </w:pPr>
            <w:r w:rsidRPr="00A126B7">
              <w:rPr>
                <w:sz w:val="20"/>
                <w:szCs w:val="20"/>
              </w:rPr>
              <w:t>Provincie West-Vl.</w:t>
            </w:r>
          </w:p>
        </w:tc>
        <w:tc>
          <w:tcPr>
            <w:tcW w:w="2348" w:type="dxa"/>
          </w:tcPr>
          <w:p w:rsidR="00B1179E" w:rsidRPr="00A126B7" w:rsidRDefault="00B1179E" w:rsidP="00DE5E8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6,70</w:t>
            </w:r>
            <w:r w:rsidRPr="00A126B7">
              <w:rPr>
                <w:sz w:val="20"/>
                <w:szCs w:val="20"/>
              </w:rPr>
              <w:t>%</w:t>
            </w:r>
          </w:p>
        </w:tc>
        <w:tc>
          <w:tcPr>
            <w:tcW w:w="2348" w:type="dxa"/>
          </w:tcPr>
          <w:p w:rsidR="00B1179E" w:rsidRPr="00A126B7" w:rsidRDefault="00B1179E" w:rsidP="00DE5E8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36.313</w:t>
            </w:r>
          </w:p>
        </w:tc>
        <w:tc>
          <w:tcPr>
            <w:tcW w:w="2348" w:type="dxa"/>
          </w:tcPr>
          <w:p w:rsidR="00B1179E" w:rsidRPr="00A126B7" w:rsidRDefault="00B1179E" w:rsidP="00DE5E8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8.274</w:t>
            </w:r>
          </w:p>
        </w:tc>
      </w:tr>
      <w:tr w:rsidR="00B1179E" w:rsidTr="00DE5E8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348" w:type="dxa"/>
          </w:tcPr>
          <w:p w:rsidR="00B1179E" w:rsidRPr="00A126B7" w:rsidRDefault="00B1179E" w:rsidP="00DE5E8E">
            <w:pPr>
              <w:jc w:val="both"/>
              <w:rPr>
                <w:sz w:val="20"/>
                <w:szCs w:val="20"/>
              </w:rPr>
            </w:pPr>
            <w:r w:rsidRPr="00A126B7">
              <w:rPr>
                <w:sz w:val="20"/>
                <w:szCs w:val="20"/>
              </w:rPr>
              <w:t>RESOC Brugge</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6,4</w:t>
            </w:r>
            <w:r w:rsidRPr="00A126B7">
              <w:rPr>
                <w:sz w:val="20"/>
                <w:szCs w:val="20"/>
              </w:rPr>
              <w:t>0%</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8.247</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2.223</w:t>
            </w:r>
          </w:p>
        </w:tc>
      </w:tr>
      <w:tr w:rsidR="00B1179E" w:rsidTr="00DE5E8E">
        <w:trPr>
          <w:trHeight w:val="299"/>
        </w:trPr>
        <w:tc>
          <w:tcPr>
            <w:cnfStyle w:val="001000000000" w:firstRow="0" w:lastRow="0" w:firstColumn="1" w:lastColumn="0" w:oddVBand="0" w:evenVBand="0" w:oddHBand="0" w:evenHBand="0" w:firstRowFirstColumn="0" w:firstRowLastColumn="0" w:lastRowFirstColumn="0" w:lastRowLastColumn="0"/>
            <w:tcW w:w="2348" w:type="dxa"/>
          </w:tcPr>
          <w:p w:rsidR="00B1179E" w:rsidRPr="00A126B7" w:rsidRDefault="00B1179E" w:rsidP="00DE5E8E">
            <w:pPr>
              <w:jc w:val="both"/>
              <w:rPr>
                <w:sz w:val="20"/>
                <w:szCs w:val="20"/>
              </w:rPr>
            </w:pPr>
            <w:r w:rsidRPr="00A126B7">
              <w:rPr>
                <w:sz w:val="20"/>
                <w:szCs w:val="20"/>
              </w:rPr>
              <w:t>RESOC Oostende</w:t>
            </w:r>
          </w:p>
        </w:tc>
        <w:tc>
          <w:tcPr>
            <w:tcW w:w="2348" w:type="dxa"/>
          </w:tcPr>
          <w:p w:rsidR="00B1179E" w:rsidRPr="00A126B7" w:rsidRDefault="00B1179E" w:rsidP="00DE5E8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9,40%</w:t>
            </w:r>
          </w:p>
        </w:tc>
        <w:tc>
          <w:tcPr>
            <w:tcW w:w="2348" w:type="dxa"/>
          </w:tcPr>
          <w:p w:rsidR="00B1179E" w:rsidRPr="00A126B7" w:rsidRDefault="00B1179E" w:rsidP="00DE5E8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6.195</w:t>
            </w:r>
          </w:p>
        </w:tc>
        <w:tc>
          <w:tcPr>
            <w:tcW w:w="2348" w:type="dxa"/>
          </w:tcPr>
          <w:p w:rsidR="00B1179E" w:rsidRPr="00A126B7" w:rsidRDefault="00B1179E" w:rsidP="00DE5E8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632</w:t>
            </w:r>
          </w:p>
        </w:tc>
      </w:tr>
      <w:tr w:rsidR="00B1179E" w:rsidTr="00DE5E8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48" w:type="dxa"/>
          </w:tcPr>
          <w:p w:rsidR="00B1179E" w:rsidRPr="00A126B7" w:rsidRDefault="00B1179E" w:rsidP="00DE5E8E">
            <w:pPr>
              <w:jc w:val="both"/>
              <w:rPr>
                <w:sz w:val="20"/>
                <w:szCs w:val="20"/>
              </w:rPr>
            </w:pPr>
            <w:r w:rsidRPr="00A126B7">
              <w:rPr>
                <w:sz w:val="20"/>
                <w:szCs w:val="20"/>
              </w:rPr>
              <w:t>RESOC Westhoek</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6,28</w:t>
            </w:r>
            <w:r w:rsidRPr="00A126B7">
              <w:rPr>
                <w:sz w:val="20"/>
                <w:szCs w:val="20"/>
              </w:rPr>
              <w:t>%</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6.222</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1.066</w:t>
            </w:r>
          </w:p>
        </w:tc>
      </w:tr>
      <w:tr w:rsidR="00B1179E" w:rsidTr="00DE5E8E">
        <w:trPr>
          <w:trHeight w:val="280"/>
        </w:trPr>
        <w:tc>
          <w:tcPr>
            <w:cnfStyle w:val="001000000000" w:firstRow="0" w:lastRow="0" w:firstColumn="1" w:lastColumn="0" w:oddVBand="0" w:evenVBand="0" w:oddHBand="0" w:evenHBand="0" w:firstRowFirstColumn="0" w:firstRowLastColumn="0" w:lastRowFirstColumn="0" w:lastRowLastColumn="0"/>
            <w:tcW w:w="2348" w:type="dxa"/>
          </w:tcPr>
          <w:p w:rsidR="00B1179E" w:rsidRPr="00A126B7" w:rsidRDefault="00B1179E" w:rsidP="00DE5E8E">
            <w:pPr>
              <w:jc w:val="both"/>
              <w:rPr>
                <w:sz w:val="20"/>
                <w:szCs w:val="20"/>
              </w:rPr>
            </w:pPr>
            <w:r w:rsidRPr="00A126B7">
              <w:rPr>
                <w:sz w:val="20"/>
                <w:szCs w:val="20"/>
              </w:rPr>
              <w:t>RESOC Midden-West-Vl.</w:t>
            </w:r>
          </w:p>
        </w:tc>
        <w:tc>
          <w:tcPr>
            <w:tcW w:w="2348" w:type="dxa"/>
          </w:tcPr>
          <w:p w:rsidR="00B1179E" w:rsidRPr="00A126B7" w:rsidRDefault="00B1179E" w:rsidP="00DE5E8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5,66</w:t>
            </w:r>
            <w:r w:rsidRPr="00A126B7">
              <w:rPr>
                <w:sz w:val="20"/>
                <w:szCs w:val="20"/>
              </w:rPr>
              <w:t>%</w:t>
            </w:r>
          </w:p>
        </w:tc>
        <w:tc>
          <w:tcPr>
            <w:tcW w:w="2348" w:type="dxa"/>
          </w:tcPr>
          <w:p w:rsidR="00B1179E" w:rsidRPr="00A126B7" w:rsidRDefault="00B1179E" w:rsidP="00DE5E8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6.464</w:t>
            </w:r>
          </w:p>
        </w:tc>
        <w:tc>
          <w:tcPr>
            <w:tcW w:w="2348" w:type="dxa"/>
          </w:tcPr>
          <w:p w:rsidR="00B1179E" w:rsidRPr="00A126B7" w:rsidRDefault="00B1179E" w:rsidP="00DE5E8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1.993</w:t>
            </w:r>
          </w:p>
        </w:tc>
      </w:tr>
      <w:tr w:rsidR="00B1179E" w:rsidTr="00DE5E8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48" w:type="dxa"/>
          </w:tcPr>
          <w:p w:rsidR="00B1179E" w:rsidRPr="00A126B7" w:rsidRDefault="00B1179E" w:rsidP="00DE5E8E">
            <w:pPr>
              <w:jc w:val="both"/>
              <w:rPr>
                <w:sz w:val="20"/>
                <w:szCs w:val="20"/>
              </w:rPr>
            </w:pPr>
            <w:r w:rsidRPr="00A126B7">
              <w:rPr>
                <w:sz w:val="20"/>
                <w:szCs w:val="20"/>
              </w:rPr>
              <w:t>RESOC Zuid-West-Vl.</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6,86</w:t>
            </w:r>
            <w:r w:rsidRPr="00A126B7">
              <w:rPr>
                <w:sz w:val="20"/>
                <w:szCs w:val="20"/>
              </w:rPr>
              <w:t>%</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9.185</w:t>
            </w:r>
          </w:p>
        </w:tc>
        <w:tc>
          <w:tcPr>
            <w:tcW w:w="2348" w:type="dxa"/>
          </w:tcPr>
          <w:p w:rsidR="00B1179E" w:rsidRPr="00A126B7" w:rsidRDefault="00B1179E" w:rsidP="00DE5E8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2.360</w:t>
            </w:r>
          </w:p>
        </w:tc>
      </w:tr>
    </w:tbl>
    <w:p w:rsidR="00B1179E" w:rsidRPr="00301E6B" w:rsidRDefault="00B1179E" w:rsidP="00B1179E">
      <w:pPr>
        <w:jc w:val="center"/>
        <w:rPr>
          <w:sz w:val="18"/>
          <w:szCs w:val="18"/>
        </w:rPr>
      </w:pPr>
      <w:r w:rsidRPr="00301E6B">
        <w:rPr>
          <w:sz w:val="18"/>
          <w:szCs w:val="18"/>
        </w:rPr>
        <w:t xml:space="preserve">Bron: VDAB </w:t>
      </w:r>
      <w:proofErr w:type="spellStart"/>
      <w:r w:rsidRPr="00301E6B">
        <w:rPr>
          <w:sz w:val="18"/>
          <w:szCs w:val="18"/>
        </w:rPr>
        <w:t>Arvastat</w:t>
      </w:r>
      <w:proofErr w:type="spellEnd"/>
      <w:r w:rsidRPr="00301E6B">
        <w:rPr>
          <w:sz w:val="18"/>
          <w:szCs w:val="18"/>
        </w:rPr>
        <w:t>, cijfers juli 2014</w:t>
      </w:r>
    </w:p>
    <w:p w:rsidR="00B1179E" w:rsidRDefault="00B1179E" w:rsidP="00B1179E">
      <w:pPr>
        <w:jc w:val="both"/>
        <w:rPr>
          <w:sz w:val="24"/>
          <w:szCs w:val="24"/>
        </w:rPr>
      </w:pPr>
    </w:p>
    <w:p w:rsidR="00B1179E" w:rsidRDefault="00B1179E" w:rsidP="00B1179E">
      <w:pPr>
        <w:jc w:val="center"/>
        <w:rPr>
          <w:sz w:val="24"/>
          <w:szCs w:val="24"/>
        </w:rPr>
      </w:pPr>
      <w:r>
        <w:rPr>
          <w:noProof/>
        </w:rPr>
        <w:lastRenderedPageBreak/>
        <w:drawing>
          <wp:inline distT="0" distB="0" distL="0" distR="0">
            <wp:extent cx="4857750" cy="3162300"/>
            <wp:effectExtent l="0" t="0" r="19050" b="19050"/>
            <wp:docPr id="8"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179E" w:rsidRPr="00301E6B" w:rsidRDefault="00B1179E" w:rsidP="00B1179E">
      <w:pPr>
        <w:jc w:val="center"/>
        <w:rPr>
          <w:sz w:val="18"/>
          <w:szCs w:val="20"/>
        </w:rPr>
      </w:pPr>
      <w:r w:rsidRPr="00301E6B">
        <w:rPr>
          <w:sz w:val="18"/>
          <w:szCs w:val="20"/>
        </w:rPr>
        <w:t xml:space="preserve">Bron: </w:t>
      </w:r>
      <w:proofErr w:type="spellStart"/>
      <w:r w:rsidRPr="00301E6B">
        <w:rPr>
          <w:sz w:val="18"/>
          <w:szCs w:val="20"/>
        </w:rPr>
        <w:t>Statbel</w:t>
      </w:r>
      <w:proofErr w:type="spellEnd"/>
      <w:r w:rsidRPr="00301E6B">
        <w:rPr>
          <w:sz w:val="18"/>
          <w:szCs w:val="20"/>
        </w:rPr>
        <w:t xml:space="preserve">, </w:t>
      </w:r>
      <w:proofErr w:type="spellStart"/>
      <w:r w:rsidRPr="00301E6B">
        <w:rPr>
          <w:sz w:val="18"/>
          <w:szCs w:val="20"/>
        </w:rPr>
        <w:t>Econopolis</w:t>
      </w:r>
      <w:proofErr w:type="spellEnd"/>
      <w:r w:rsidRPr="00301E6B">
        <w:rPr>
          <w:sz w:val="18"/>
          <w:szCs w:val="20"/>
        </w:rPr>
        <w:t xml:space="preserve"> bewerkingen</w:t>
      </w:r>
    </w:p>
    <w:p w:rsidR="00B1179E" w:rsidRDefault="00B1179E" w:rsidP="00B1179E">
      <w:pPr>
        <w:rPr>
          <w:sz w:val="24"/>
          <w:szCs w:val="24"/>
        </w:rPr>
      </w:pPr>
    </w:p>
    <w:p w:rsidR="00B1179E" w:rsidRDefault="00B1179E" w:rsidP="00B1179E">
      <w:pPr>
        <w:rPr>
          <w:sz w:val="24"/>
          <w:szCs w:val="24"/>
        </w:rPr>
      </w:pPr>
      <w:r>
        <w:rPr>
          <w:sz w:val="24"/>
          <w:szCs w:val="24"/>
        </w:rPr>
        <w:t xml:space="preserve">“De West-Vlaamse bedrijven vinden dan wel vlot de weg naar steun uit de </w:t>
      </w:r>
      <w:r w:rsidRPr="00482274">
        <w:rPr>
          <w:i/>
          <w:sz w:val="24"/>
          <w:szCs w:val="24"/>
        </w:rPr>
        <w:t>KMO-portefeuille voor technologieverkenning</w:t>
      </w:r>
      <w:r>
        <w:rPr>
          <w:sz w:val="24"/>
          <w:szCs w:val="24"/>
        </w:rPr>
        <w:t xml:space="preserve"> van het Vlaams Agentschap Ondernemen (25,6% aandeel van het Vlaamse Gewest), maar hinken behoorlijk achterop wat betreft de </w:t>
      </w:r>
      <w:proofErr w:type="spellStart"/>
      <w:r>
        <w:rPr>
          <w:sz w:val="24"/>
          <w:szCs w:val="24"/>
        </w:rPr>
        <w:t>gebruikname</w:t>
      </w:r>
      <w:proofErr w:type="spellEnd"/>
      <w:r>
        <w:rPr>
          <w:sz w:val="24"/>
          <w:szCs w:val="24"/>
        </w:rPr>
        <w:t xml:space="preserve"> van steunmaatregelen uit het Vlaams Innovatie Samenwerkingsprogramma van het IWT</w:t>
      </w:r>
      <w:r>
        <w:rPr>
          <w:rStyle w:val="Voetnootmarkering"/>
          <w:sz w:val="24"/>
          <w:szCs w:val="24"/>
        </w:rPr>
        <w:footnoteReference w:id="1"/>
      </w:r>
      <w:r>
        <w:rPr>
          <w:sz w:val="24"/>
          <w:szCs w:val="24"/>
        </w:rPr>
        <w:t xml:space="preserve">.  </w:t>
      </w:r>
      <w:r w:rsidRPr="00A264B6">
        <w:rPr>
          <w:b/>
          <w:sz w:val="24"/>
          <w:szCs w:val="24"/>
        </w:rPr>
        <w:t>In 2013 was dit de steun uit het VIS-programma voor West-Vlaanderen 391.520 euro; een aandeel van amper 2,1% van het Vlaams Gewest</w:t>
      </w:r>
      <w:r w:rsidRPr="00A264B6">
        <w:rPr>
          <w:rStyle w:val="Voetnootmarkering"/>
          <w:b/>
          <w:sz w:val="24"/>
          <w:szCs w:val="24"/>
        </w:rPr>
        <w:footnoteReference w:id="2"/>
      </w:r>
      <w:r w:rsidRPr="00A264B6">
        <w:rPr>
          <w:b/>
          <w:sz w:val="24"/>
          <w:szCs w:val="24"/>
        </w:rPr>
        <w:t>.</w:t>
      </w:r>
      <w:r>
        <w:rPr>
          <w:sz w:val="24"/>
          <w:szCs w:val="24"/>
        </w:rPr>
        <w:t xml:space="preserve"> Als s</w:t>
      </w:r>
      <w:r w:rsidRPr="00414733">
        <w:rPr>
          <w:sz w:val="24"/>
          <w:szCs w:val="24"/>
        </w:rPr>
        <w:t>teunverlening voor innovatie</w:t>
      </w:r>
      <w:r>
        <w:rPr>
          <w:sz w:val="24"/>
          <w:szCs w:val="24"/>
        </w:rPr>
        <w:t xml:space="preserve"> de</w:t>
      </w:r>
      <w:r w:rsidRPr="00414733">
        <w:rPr>
          <w:sz w:val="24"/>
          <w:szCs w:val="24"/>
        </w:rPr>
        <w:t xml:space="preserve"> </w:t>
      </w:r>
      <w:r>
        <w:rPr>
          <w:sz w:val="24"/>
          <w:szCs w:val="24"/>
        </w:rPr>
        <w:t xml:space="preserve">ondernemingen kan aanzetten tot meer samenwerking zitten we op het goede spoor naar open innovatie”  (rede gouverneur Decaluwé </w:t>
      </w:r>
      <w:proofErr w:type="spellStart"/>
      <w:r>
        <w:rPr>
          <w:sz w:val="24"/>
          <w:szCs w:val="24"/>
        </w:rPr>
        <w:t>BOVENal</w:t>
      </w:r>
      <w:proofErr w:type="spellEnd"/>
      <w:r>
        <w:rPr>
          <w:sz w:val="24"/>
          <w:szCs w:val="24"/>
        </w:rPr>
        <w:t xml:space="preserve"> </w:t>
      </w:r>
      <w:proofErr w:type="spellStart"/>
      <w:r>
        <w:rPr>
          <w:sz w:val="24"/>
          <w:szCs w:val="24"/>
        </w:rPr>
        <w:t>ONDERnemen</w:t>
      </w:r>
      <w:proofErr w:type="spellEnd"/>
      <w:r>
        <w:rPr>
          <w:sz w:val="24"/>
          <w:szCs w:val="24"/>
        </w:rPr>
        <w:t xml:space="preserve">). </w:t>
      </w:r>
    </w:p>
    <w:p w:rsidR="004D104B" w:rsidRDefault="004D104B" w:rsidP="0088022A">
      <w:pPr>
        <w:jc w:val="both"/>
        <w:rPr>
          <w:sz w:val="24"/>
          <w:szCs w:val="24"/>
        </w:rPr>
      </w:pPr>
    </w:p>
    <w:p w:rsidR="004D104B" w:rsidRDefault="004D104B" w:rsidP="0088022A">
      <w:pPr>
        <w:jc w:val="both"/>
        <w:rPr>
          <w:sz w:val="24"/>
          <w:szCs w:val="24"/>
        </w:rPr>
      </w:pPr>
    </w:p>
    <w:p w:rsidR="0088022A" w:rsidRDefault="0088022A"/>
    <w:sectPr w:rsidR="0088022A" w:rsidSect="00B1179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52" w:rsidRDefault="00160F52" w:rsidP="00B1179E">
      <w:pPr>
        <w:spacing w:after="0" w:line="240" w:lineRule="auto"/>
      </w:pPr>
      <w:r>
        <w:separator/>
      </w:r>
    </w:p>
  </w:endnote>
  <w:endnote w:type="continuationSeparator" w:id="0">
    <w:p w:rsidR="00160F52" w:rsidRDefault="00160F52" w:rsidP="00B1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1267"/>
      <w:docPartObj>
        <w:docPartGallery w:val="Page Numbers (Bottom of Page)"/>
        <w:docPartUnique/>
      </w:docPartObj>
    </w:sdtPr>
    <w:sdtEndPr/>
    <w:sdtContent>
      <w:p w:rsidR="00B1179E" w:rsidRDefault="002D5822">
        <w:pPr>
          <w:pStyle w:val="Voettekst"/>
          <w:jc w:val="right"/>
        </w:pPr>
        <w:r>
          <w:fldChar w:fldCharType="begin"/>
        </w:r>
        <w:r>
          <w:instrText xml:space="preserve"> PAGE   \* MERGEFORMAT </w:instrText>
        </w:r>
        <w:r>
          <w:fldChar w:fldCharType="separate"/>
        </w:r>
        <w:r w:rsidR="000E0E57">
          <w:rPr>
            <w:noProof/>
          </w:rPr>
          <w:t>2</w:t>
        </w:r>
        <w:r>
          <w:rPr>
            <w:noProof/>
          </w:rPr>
          <w:fldChar w:fldCharType="end"/>
        </w:r>
      </w:p>
    </w:sdtContent>
  </w:sdt>
  <w:p w:rsidR="00B1179E" w:rsidRDefault="00B117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52" w:rsidRDefault="00160F52" w:rsidP="00B1179E">
      <w:pPr>
        <w:spacing w:after="0" w:line="240" w:lineRule="auto"/>
      </w:pPr>
      <w:r>
        <w:separator/>
      </w:r>
    </w:p>
  </w:footnote>
  <w:footnote w:type="continuationSeparator" w:id="0">
    <w:p w:rsidR="00160F52" w:rsidRDefault="00160F52" w:rsidP="00B1179E">
      <w:pPr>
        <w:spacing w:after="0" w:line="240" w:lineRule="auto"/>
      </w:pPr>
      <w:r>
        <w:continuationSeparator/>
      </w:r>
    </w:p>
  </w:footnote>
  <w:footnote w:id="1">
    <w:p w:rsidR="00B1179E" w:rsidRDefault="00B1179E" w:rsidP="00B1179E">
      <w:pPr>
        <w:pStyle w:val="Voetnoottekst"/>
      </w:pPr>
      <w:r>
        <w:rPr>
          <w:rStyle w:val="Voetnootmarkering"/>
        </w:rPr>
        <w:footnoteRef/>
      </w:r>
      <w:r>
        <w:t xml:space="preserve"> Vlaams Agentschap voor Innovatie door Wetenschap en Technologie </w:t>
      </w:r>
    </w:p>
  </w:footnote>
  <w:footnote w:id="2">
    <w:p w:rsidR="00B1179E" w:rsidRDefault="00B1179E" w:rsidP="00B1179E">
      <w:pPr>
        <w:pStyle w:val="Voetnoottekst"/>
      </w:pPr>
      <w:r>
        <w:rPr>
          <w:rStyle w:val="Voetnootmarkering"/>
        </w:rPr>
        <w:footnoteRef/>
      </w:r>
      <w:r>
        <w:t xml:space="preserve"> West-Vlaanderen ontcijferd 2014 – Tabel Evolutie van de IWT-projectsteun voor onderzoek, ontwikkeling en innovatie in West-Vlaanderen, p. 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CCD"/>
    <w:multiLevelType w:val="hybridMultilevel"/>
    <w:tmpl w:val="2D463324"/>
    <w:lvl w:ilvl="0" w:tplc="98743A9C">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46905266"/>
    <w:multiLevelType w:val="hybridMultilevel"/>
    <w:tmpl w:val="D57A26D8"/>
    <w:lvl w:ilvl="0" w:tplc="98743A9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4075C42"/>
    <w:multiLevelType w:val="hybridMultilevel"/>
    <w:tmpl w:val="3A08B55A"/>
    <w:lvl w:ilvl="0" w:tplc="3FB090B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2A"/>
    <w:rsid w:val="000E0E57"/>
    <w:rsid w:val="00160F52"/>
    <w:rsid w:val="002244B1"/>
    <w:rsid w:val="002807E5"/>
    <w:rsid w:val="002D5822"/>
    <w:rsid w:val="004409F3"/>
    <w:rsid w:val="004D104B"/>
    <w:rsid w:val="00556827"/>
    <w:rsid w:val="00692F57"/>
    <w:rsid w:val="007D3968"/>
    <w:rsid w:val="0088022A"/>
    <w:rsid w:val="00AF4E2D"/>
    <w:rsid w:val="00B1179E"/>
    <w:rsid w:val="00BA3E95"/>
    <w:rsid w:val="00BE3FF9"/>
    <w:rsid w:val="00BF6306"/>
    <w:rsid w:val="00FB2E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8802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22A"/>
    <w:pPr>
      <w:ind w:left="720"/>
      <w:contextualSpacing/>
    </w:pPr>
  </w:style>
  <w:style w:type="character" w:customStyle="1" w:styleId="Kop2Char">
    <w:name w:val="Kop 2 Char"/>
    <w:basedOn w:val="Standaardalinea-lettertype"/>
    <w:link w:val="Kop2"/>
    <w:uiPriority w:val="9"/>
    <w:rsid w:val="0088022A"/>
    <w:rPr>
      <w:rFonts w:ascii="Times New Roman" w:eastAsia="Times New Roman" w:hAnsi="Times New Roman" w:cs="Times New Roman"/>
      <w:b/>
      <w:bCs/>
      <w:sz w:val="36"/>
      <w:szCs w:val="36"/>
      <w:lang w:eastAsia="nl-BE"/>
    </w:rPr>
  </w:style>
  <w:style w:type="paragraph" w:styleId="Ballontekst">
    <w:name w:val="Balloon Text"/>
    <w:basedOn w:val="Standaard"/>
    <w:link w:val="BallontekstChar"/>
    <w:uiPriority w:val="99"/>
    <w:semiHidden/>
    <w:unhideWhenUsed/>
    <w:rsid w:val="00B117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179E"/>
    <w:rPr>
      <w:rFonts w:ascii="Tahoma" w:hAnsi="Tahoma" w:cs="Tahoma"/>
      <w:sz w:val="16"/>
      <w:szCs w:val="16"/>
    </w:rPr>
  </w:style>
  <w:style w:type="table" w:styleId="Gemiddeldelijst2-accent1">
    <w:name w:val="Medium List 2 Accent 1"/>
    <w:basedOn w:val="Standaardtabel"/>
    <w:uiPriority w:val="66"/>
    <w:rsid w:val="00B117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Voetnoottekst">
    <w:name w:val="footnote text"/>
    <w:basedOn w:val="Standaard"/>
    <w:link w:val="VoetnoottekstChar"/>
    <w:uiPriority w:val="99"/>
    <w:unhideWhenUsed/>
    <w:rsid w:val="00B1179E"/>
    <w:pPr>
      <w:spacing w:after="0" w:line="240" w:lineRule="auto"/>
    </w:pPr>
    <w:rPr>
      <w:sz w:val="20"/>
      <w:szCs w:val="20"/>
    </w:rPr>
  </w:style>
  <w:style w:type="character" w:customStyle="1" w:styleId="VoetnoottekstChar">
    <w:name w:val="Voetnoottekst Char"/>
    <w:basedOn w:val="Standaardalinea-lettertype"/>
    <w:link w:val="Voetnoottekst"/>
    <w:uiPriority w:val="99"/>
    <w:rsid w:val="00B1179E"/>
    <w:rPr>
      <w:sz w:val="20"/>
      <w:szCs w:val="20"/>
    </w:rPr>
  </w:style>
  <w:style w:type="character" w:styleId="Voetnootmarkering">
    <w:name w:val="footnote reference"/>
    <w:basedOn w:val="Standaardalinea-lettertype"/>
    <w:uiPriority w:val="99"/>
    <w:semiHidden/>
    <w:unhideWhenUsed/>
    <w:rsid w:val="00B1179E"/>
    <w:rPr>
      <w:vertAlign w:val="superscript"/>
    </w:rPr>
  </w:style>
  <w:style w:type="paragraph" w:styleId="Koptekst">
    <w:name w:val="header"/>
    <w:basedOn w:val="Standaard"/>
    <w:link w:val="KoptekstChar"/>
    <w:uiPriority w:val="99"/>
    <w:semiHidden/>
    <w:unhideWhenUsed/>
    <w:rsid w:val="00B117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1179E"/>
  </w:style>
  <w:style w:type="paragraph" w:styleId="Voettekst">
    <w:name w:val="footer"/>
    <w:basedOn w:val="Standaard"/>
    <w:link w:val="VoettekstChar"/>
    <w:uiPriority w:val="99"/>
    <w:unhideWhenUsed/>
    <w:rsid w:val="00B117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179E"/>
  </w:style>
  <w:style w:type="paragraph" w:styleId="Geenafstand">
    <w:name w:val="No Spacing"/>
    <w:uiPriority w:val="1"/>
    <w:qFormat/>
    <w:rsid w:val="00692F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8802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22A"/>
    <w:pPr>
      <w:ind w:left="720"/>
      <w:contextualSpacing/>
    </w:pPr>
  </w:style>
  <w:style w:type="character" w:customStyle="1" w:styleId="Kop2Char">
    <w:name w:val="Kop 2 Char"/>
    <w:basedOn w:val="Standaardalinea-lettertype"/>
    <w:link w:val="Kop2"/>
    <w:uiPriority w:val="9"/>
    <w:rsid w:val="0088022A"/>
    <w:rPr>
      <w:rFonts w:ascii="Times New Roman" w:eastAsia="Times New Roman" w:hAnsi="Times New Roman" w:cs="Times New Roman"/>
      <w:b/>
      <w:bCs/>
      <w:sz w:val="36"/>
      <w:szCs w:val="36"/>
      <w:lang w:eastAsia="nl-BE"/>
    </w:rPr>
  </w:style>
  <w:style w:type="paragraph" w:styleId="Ballontekst">
    <w:name w:val="Balloon Text"/>
    <w:basedOn w:val="Standaard"/>
    <w:link w:val="BallontekstChar"/>
    <w:uiPriority w:val="99"/>
    <w:semiHidden/>
    <w:unhideWhenUsed/>
    <w:rsid w:val="00B117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179E"/>
    <w:rPr>
      <w:rFonts w:ascii="Tahoma" w:hAnsi="Tahoma" w:cs="Tahoma"/>
      <w:sz w:val="16"/>
      <w:szCs w:val="16"/>
    </w:rPr>
  </w:style>
  <w:style w:type="table" w:styleId="Gemiddeldelijst2-accent1">
    <w:name w:val="Medium List 2 Accent 1"/>
    <w:basedOn w:val="Standaardtabel"/>
    <w:uiPriority w:val="66"/>
    <w:rsid w:val="00B117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Voetnoottekst">
    <w:name w:val="footnote text"/>
    <w:basedOn w:val="Standaard"/>
    <w:link w:val="VoetnoottekstChar"/>
    <w:uiPriority w:val="99"/>
    <w:unhideWhenUsed/>
    <w:rsid w:val="00B1179E"/>
    <w:pPr>
      <w:spacing w:after="0" w:line="240" w:lineRule="auto"/>
    </w:pPr>
    <w:rPr>
      <w:sz w:val="20"/>
      <w:szCs w:val="20"/>
    </w:rPr>
  </w:style>
  <w:style w:type="character" w:customStyle="1" w:styleId="VoetnoottekstChar">
    <w:name w:val="Voetnoottekst Char"/>
    <w:basedOn w:val="Standaardalinea-lettertype"/>
    <w:link w:val="Voetnoottekst"/>
    <w:uiPriority w:val="99"/>
    <w:rsid w:val="00B1179E"/>
    <w:rPr>
      <w:sz w:val="20"/>
      <w:szCs w:val="20"/>
    </w:rPr>
  </w:style>
  <w:style w:type="character" w:styleId="Voetnootmarkering">
    <w:name w:val="footnote reference"/>
    <w:basedOn w:val="Standaardalinea-lettertype"/>
    <w:uiPriority w:val="99"/>
    <w:semiHidden/>
    <w:unhideWhenUsed/>
    <w:rsid w:val="00B1179E"/>
    <w:rPr>
      <w:vertAlign w:val="superscript"/>
    </w:rPr>
  </w:style>
  <w:style w:type="paragraph" w:styleId="Koptekst">
    <w:name w:val="header"/>
    <w:basedOn w:val="Standaard"/>
    <w:link w:val="KoptekstChar"/>
    <w:uiPriority w:val="99"/>
    <w:semiHidden/>
    <w:unhideWhenUsed/>
    <w:rsid w:val="00B117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1179E"/>
  </w:style>
  <w:style w:type="paragraph" w:styleId="Voettekst">
    <w:name w:val="footer"/>
    <w:basedOn w:val="Standaard"/>
    <w:link w:val="VoettekstChar"/>
    <w:uiPriority w:val="99"/>
    <w:unhideWhenUsed/>
    <w:rsid w:val="00B117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179E"/>
  </w:style>
  <w:style w:type="paragraph" w:styleId="Geenafstand">
    <w:name w:val="No Spacing"/>
    <w:uiPriority w:val="1"/>
    <w:qFormat/>
    <w:rsid w:val="00692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DCL\AppData\Local\Microsoft\Windows\Temporary%20Internet%20Files\Content.Outlook\9HFG127J\J_FC2014_Figuur1%201%204.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EDCL\AppData\Local\Microsoft\Windows\Temporary%20Internet%20Files\Content.Outlook\9HFG127J\verpleegdagen.xlsx" TargetMode="External"/><Relationship Id="rId1" Type="http://schemas.openxmlformats.org/officeDocument/2006/relationships/image" Target="../media/image2.png"/></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nl-BE" sz="1200"/>
              <a:t>Bevolkingsmaatstaven (in %) voor West-Vlaanderen, 1 januari 2003, 1 januari 2013 en 1 januari 2023.</a:t>
            </a:r>
          </a:p>
        </c:rich>
      </c:tx>
      <c:layout>
        <c:manualLayout>
          <c:xMode val="edge"/>
          <c:yMode val="edge"/>
          <c:x val="0.13903206858349593"/>
          <c:y val="1.3333333333333341E-2"/>
        </c:manualLayout>
      </c:layout>
      <c:overlay val="1"/>
    </c:title>
    <c:autoTitleDeleted val="0"/>
    <c:plotArea>
      <c:layout>
        <c:manualLayout>
          <c:layoutTarget val="inner"/>
          <c:xMode val="edge"/>
          <c:yMode val="edge"/>
          <c:x val="4.7461460095227184E-2"/>
          <c:y val="0.15150222419380679"/>
          <c:w val="0.90751817237798549"/>
          <c:h val="0.67185267334541199"/>
        </c:manualLayout>
      </c:layout>
      <c:barChart>
        <c:barDir val="col"/>
        <c:grouping val="clustered"/>
        <c:varyColors val="0"/>
        <c:ser>
          <c:idx val="0"/>
          <c:order val="0"/>
          <c:tx>
            <c:strRef>
              <c:f>'Geg Fig 1.1.4'!$A$21</c:f>
              <c:strCache>
                <c:ptCount val="1"/>
                <c:pt idx="0">
                  <c:v>1/01/2003</c:v>
                </c:pt>
              </c:strCache>
            </c:strRef>
          </c:tx>
          <c:invertIfNegative val="0"/>
          <c:dLbls>
            <c:dLbl>
              <c:idx val="0"/>
              <c:layout>
                <c:manualLayout>
                  <c:x val="-4.0941658137154365E-3"/>
                  <c:y val="0"/>
                </c:manualLayout>
              </c:layout>
              <c:spPr/>
              <c:txPr>
                <a:bodyPr/>
                <a:lstStyle/>
                <a:p>
                  <a:pPr>
                    <a:defRPr/>
                  </a:pPr>
                  <a:endParaRPr lang="nl-BE"/>
                </a:p>
              </c:txPr>
              <c:dLblPos val="outEnd"/>
              <c:showLegendKey val="0"/>
              <c:showVal val="1"/>
              <c:showCatName val="0"/>
              <c:showSerName val="0"/>
              <c:showPercent val="0"/>
              <c:showBubbleSize val="0"/>
            </c:dLbl>
            <c:dLbl>
              <c:idx val="1"/>
              <c:layout>
                <c:manualLayout>
                  <c:x val="-4.0941658137154365E-3"/>
                  <c:y val="4.179728317659363E-3"/>
                </c:manualLayout>
              </c:layout>
              <c:spPr/>
              <c:txPr>
                <a:bodyPr/>
                <a:lstStyle/>
                <a:p>
                  <a:pPr>
                    <a:defRPr/>
                  </a:pPr>
                  <a:endParaRPr lang="nl-BE"/>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'Geg Fig 1.1.4'!$B$20:$E$20</c:f>
              <c:strCache>
                <c:ptCount val="4"/>
                <c:pt idx="0">
                  <c:v>Ouderdomscoëfficiënt</c:v>
                </c:pt>
                <c:pt idx="1">
                  <c:v>Afhankelijkheidsratio</c:v>
                </c:pt>
                <c:pt idx="2">
                  <c:v>Interne vergrijzing</c:v>
                </c:pt>
                <c:pt idx="3">
                  <c:v>Doorstromingscoëfficiënt</c:v>
                </c:pt>
              </c:strCache>
            </c:strRef>
          </c:cat>
          <c:val>
            <c:numRef>
              <c:f>'Geg Fig 1.1.4'!$B$21:$E$21</c:f>
              <c:numCache>
                <c:formatCode>0.0</c:formatCode>
                <c:ptCount val="4"/>
                <c:pt idx="0">
                  <c:v>108.7574740852276</c:v>
                </c:pt>
                <c:pt idx="1">
                  <c:v>87.213404899214026</c:v>
                </c:pt>
                <c:pt idx="2">
                  <c:v>17.798627185220873</c:v>
                </c:pt>
                <c:pt idx="3">
                  <c:v>102.66431728768247</c:v>
                </c:pt>
              </c:numCache>
            </c:numRef>
          </c:val>
        </c:ser>
        <c:ser>
          <c:idx val="1"/>
          <c:order val="1"/>
          <c:tx>
            <c:strRef>
              <c:f>'Geg Fig 1.1.4'!$A$22</c:f>
              <c:strCache>
                <c:ptCount val="1"/>
                <c:pt idx="0">
                  <c:v>1/01/2013</c:v>
                </c:pt>
              </c:strCache>
            </c:strRef>
          </c:tx>
          <c:invertIfNegative val="0"/>
          <c:dLbls>
            <c:showLegendKey val="0"/>
            <c:showVal val="1"/>
            <c:showCatName val="0"/>
            <c:showSerName val="0"/>
            <c:showPercent val="0"/>
            <c:showBubbleSize val="0"/>
            <c:showLeaderLines val="0"/>
          </c:dLbls>
          <c:cat>
            <c:strRef>
              <c:f>'Geg Fig 1.1.4'!$B$20:$E$20</c:f>
              <c:strCache>
                <c:ptCount val="4"/>
                <c:pt idx="0">
                  <c:v>Ouderdomscoëfficiënt</c:v>
                </c:pt>
                <c:pt idx="1">
                  <c:v>Afhankelijkheidsratio</c:v>
                </c:pt>
                <c:pt idx="2">
                  <c:v>Interne vergrijzing</c:v>
                </c:pt>
                <c:pt idx="3">
                  <c:v>Doorstromingscoëfficiënt</c:v>
                </c:pt>
              </c:strCache>
            </c:strRef>
          </c:cat>
          <c:val>
            <c:numRef>
              <c:f>'Geg Fig 1.1.4'!$B$22:$E$22</c:f>
              <c:numCache>
                <c:formatCode>0.0</c:formatCode>
                <c:ptCount val="4"/>
                <c:pt idx="0">
                  <c:v>135.43756112925357</c:v>
                </c:pt>
                <c:pt idx="1">
                  <c:v>93.91083552230269</c:v>
                </c:pt>
                <c:pt idx="2">
                  <c:v>23.028763769889839</c:v>
                </c:pt>
                <c:pt idx="3">
                  <c:v>88.344530153823797</c:v>
                </c:pt>
              </c:numCache>
            </c:numRef>
          </c:val>
        </c:ser>
        <c:ser>
          <c:idx val="2"/>
          <c:order val="2"/>
          <c:tx>
            <c:strRef>
              <c:f>'Geg Fig 1.1.4'!$A$23</c:f>
              <c:strCache>
                <c:ptCount val="1"/>
                <c:pt idx="0">
                  <c:v>1/01/2023</c:v>
                </c:pt>
              </c:strCache>
            </c:strRef>
          </c:tx>
          <c:invertIfNegative val="0"/>
          <c:dLbls>
            <c:showLegendKey val="0"/>
            <c:showVal val="1"/>
            <c:showCatName val="0"/>
            <c:showSerName val="0"/>
            <c:showPercent val="0"/>
            <c:showBubbleSize val="0"/>
            <c:showLeaderLines val="0"/>
          </c:dLbls>
          <c:cat>
            <c:strRef>
              <c:f>'Geg Fig 1.1.4'!$B$20:$E$20</c:f>
              <c:strCache>
                <c:ptCount val="4"/>
                <c:pt idx="0">
                  <c:v>Ouderdomscoëfficiënt</c:v>
                </c:pt>
                <c:pt idx="1">
                  <c:v>Afhankelijkheidsratio</c:v>
                </c:pt>
                <c:pt idx="2">
                  <c:v>Interne vergrijzing</c:v>
                </c:pt>
                <c:pt idx="3">
                  <c:v>Doorstromingscoëfficiënt</c:v>
                </c:pt>
              </c:strCache>
            </c:strRef>
          </c:cat>
          <c:val>
            <c:numRef>
              <c:f>'Geg Fig 1.1.4'!$B$23:$E$23</c:f>
              <c:numCache>
                <c:formatCode>0.0</c:formatCode>
                <c:ptCount val="4"/>
                <c:pt idx="0">
                  <c:v>162.83356566762919</c:v>
                </c:pt>
                <c:pt idx="1">
                  <c:v>109.22430781485117</c:v>
                </c:pt>
                <c:pt idx="2">
                  <c:v>22.967990807198309</c:v>
                </c:pt>
                <c:pt idx="3">
                  <c:v>69.373667362403737</c:v>
                </c:pt>
              </c:numCache>
            </c:numRef>
          </c:val>
        </c:ser>
        <c:dLbls>
          <c:showLegendKey val="0"/>
          <c:showVal val="0"/>
          <c:showCatName val="0"/>
          <c:showSerName val="0"/>
          <c:showPercent val="0"/>
          <c:showBubbleSize val="0"/>
        </c:dLbls>
        <c:gapWidth val="150"/>
        <c:axId val="116356608"/>
        <c:axId val="82671232"/>
      </c:barChart>
      <c:catAx>
        <c:axId val="116356608"/>
        <c:scaling>
          <c:orientation val="minMax"/>
        </c:scaling>
        <c:delete val="0"/>
        <c:axPos val="b"/>
        <c:numFmt formatCode="General" sourceLinked="1"/>
        <c:majorTickMark val="out"/>
        <c:minorTickMark val="none"/>
        <c:tickLblPos val="nextTo"/>
        <c:crossAx val="82671232"/>
        <c:crosses val="autoZero"/>
        <c:auto val="1"/>
        <c:lblAlgn val="ctr"/>
        <c:lblOffset val="100"/>
        <c:noMultiLvlLbl val="0"/>
      </c:catAx>
      <c:valAx>
        <c:axId val="82671232"/>
        <c:scaling>
          <c:orientation val="minMax"/>
        </c:scaling>
        <c:delete val="0"/>
        <c:axPos val="l"/>
        <c:majorGridlines/>
        <c:numFmt formatCode="0" sourceLinked="0"/>
        <c:majorTickMark val="out"/>
        <c:minorTickMark val="none"/>
        <c:tickLblPos val="nextTo"/>
        <c:crossAx val="11635660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BE" sz="1200"/>
              <a:t>Evolutie</a:t>
            </a:r>
            <a:r>
              <a:rPr lang="nl-BE" sz="1200" baseline="0"/>
              <a:t> van de verpleegdagen volgens leeftijd in W-Vl: prognoses (2010-2025)</a:t>
            </a:r>
            <a:endParaRPr lang="nl-BE" sz="1200"/>
          </a:p>
        </c:rich>
      </c:tx>
      <c:layout/>
      <c:overlay val="0"/>
    </c:title>
    <c:autoTitleDeleted val="0"/>
    <c:plotArea>
      <c:layout>
        <c:manualLayout>
          <c:layoutTarget val="inner"/>
          <c:xMode val="edge"/>
          <c:yMode val="edge"/>
          <c:x val="8.4130465655721048E-2"/>
          <c:y val="0.15802693429064441"/>
          <c:w val="0.87578937402364032"/>
          <c:h val="0.59490747535651245"/>
        </c:manualLayout>
      </c:layout>
      <c:lineChart>
        <c:grouping val="standard"/>
        <c:varyColors val="0"/>
        <c:ser>
          <c:idx val="0"/>
          <c:order val="0"/>
          <c:tx>
            <c:strRef>
              <c:f>'[input rede gouverneur.xlsx]W-Vl verpleegdagen'!$P$25</c:f>
              <c:strCache>
                <c:ptCount val="1"/>
                <c:pt idx="0">
                  <c:v>&lt;55</c:v>
                </c:pt>
              </c:strCache>
            </c:strRef>
          </c:tx>
          <c:marker>
            <c:symbol val="x"/>
            <c:size val="8"/>
          </c:marker>
          <c:cat>
            <c:numRef>
              <c:f>'[input rede gouverneur.xlsx]W-Vl verpleegdagen'!$Q$24:$T$24</c:f>
              <c:numCache>
                <c:formatCode>General</c:formatCode>
                <c:ptCount val="4"/>
                <c:pt idx="0">
                  <c:v>2010</c:v>
                </c:pt>
                <c:pt idx="1">
                  <c:v>2015</c:v>
                </c:pt>
                <c:pt idx="2">
                  <c:v>2020</c:v>
                </c:pt>
                <c:pt idx="3">
                  <c:v>2025</c:v>
                </c:pt>
              </c:numCache>
            </c:numRef>
          </c:cat>
          <c:val>
            <c:numRef>
              <c:f>'[input rede gouverneur.xlsx]W-Vl verpleegdagen'!$Q$25:$T$25</c:f>
              <c:numCache>
                <c:formatCode>General</c:formatCode>
                <c:ptCount val="4"/>
                <c:pt idx="0">
                  <c:v>100</c:v>
                </c:pt>
                <c:pt idx="1">
                  <c:v>98.989630036746348</c:v>
                </c:pt>
                <c:pt idx="2">
                  <c:v>96.364061021544586</c:v>
                </c:pt>
                <c:pt idx="3">
                  <c:v>94.286132875059238</c:v>
                </c:pt>
              </c:numCache>
            </c:numRef>
          </c:val>
          <c:smooth val="0"/>
        </c:ser>
        <c:ser>
          <c:idx val="1"/>
          <c:order val="1"/>
          <c:tx>
            <c:strRef>
              <c:f>'[input rede gouverneur.xlsx]W-Vl verpleegdagen'!$P$26</c:f>
              <c:strCache>
                <c:ptCount val="1"/>
                <c:pt idx="0">
                  <c:v>55-69</c:v>
                </c:pt>
              </c:strCache>
            </c:strRef>
          </c:tx>
          <c:marker>
            <c:symbol val="triangle"/>
            <c:size val="8"/>
          </c:marker>
          <c:cat>
            <c:numRef>
              <c:f>'[input rede gouverneur.xlsx]W-Vl verpleegdagen'!$Q$24:$T$24</c:f>
              <c:numCache>
                <c:formatCode>General</c:formatCode>
                <c:ptCount val="4"/>
                <c:pt idx="0">
                  <c:v>2010</c:v>
                </c:pt>
                <c:pt idx="1">
                  <c:v>2015</c:v>
                </c:pt>
                <c:pt idx="2">
                  <c:v>2020</c:v>
                </c:pt>
                <c:pt idx="3">
                  <c:v>2025</c:v>
                </c:pt>
              </c:numCache>
            </c:numRef>
          </c:cat>
          <c:val>
            <c:numRef>
              <c:f>'[input rede gouverneur.xlsx]W-Vl verpleegdagen'!$Q$26:$T$26</c:f>
              <c:numCache>
                <c:formatCode>General</c:formatCode>
                <c:ptCount val="4"/>
                <c:pt idx="0">
                  <c:v>100</c:v>
                </c:pt>
                <c:pt idx="1">
                  <c:v>112.13980393937072</c:v>
                </c:pt>
                <c:pt idx="2">
                  <c:v>119.54065182427649</c:v>
                </c:pt>
                <c:pt idx="3">
                  <c:v>125.8752986998104</c:v>
                </c:pt>
              </c:numCache>
            </c:numRef>
          </c:val>
          <c:smooth val="0"/>
        </c:ser>
        <c:ser>
          <c:idx val="2"/>
          <c:order val="2"/>
          <c:tx>
            <c:strRef>
              <c:f>'[input rede gouverneur.xlsx]W-Vl verpleegdagen'!$P$27</c:f>
              <c:strCache>
                <c:ptCount val="1"/>
                <c:pt idx="0">
                  <c:v>70-79</c:v>
                </c:pt>
              </c:strCache>
            </c:strRef>
          </c:tx>
          <c:marker>
            <c:symbol val="circle"/>
            <c:size val="8"/>
          </c:marker>
          <c:cat>
            <c:numRef>
              <c:f>'[input rede gouverneur.xlsx]W-Vl verpleegdagen'!$Q$24:$T$24</c:f>
              <c:numCache>
                <c:formatCode>General</c:formatCode>
                <c:ptCount val="4"/>
                <c:pt idx="0">
                  <c:v>2010</c:v>
                </c:pt>
                <c:pt idx="1">
                  <c:v>2015</c:v>
                </c:pt>
                <c:pt idx="2">
                  <c:v>2020</c:v>
                </c:pt>
                <c:pt idx="3">
                  <c:v>2025</c:v>
                </c:pt>
              </c:numCache>
            </c:numRef>
          </c:cat>
          <c:val>
            <c:numRef>
              <c:f>'[input rede gouverneur.xlsx]W-Vl verpleegdagen'!$Q$27:$T$27</c:f>
              <c:numCache>
                <c:formatCode>General</c:formatCode>
                <c:ptCount val="4"/>
                <c:pt idx="0">
                  <c:v>100</c:v>
                </c:pt>
                <c:pt idx="1">
                  <c:v>100.78782290456641</c:v>
                </c:pt>
                <c:pt idx="2">
                  <c:v>109.16206298479175</c:v>
                </c:pt>
                <c:pt idx="3">
                  <c:v>123.41063682481582</c:v>
                </c:pt>
              </c:numCache>
            </c:numRef>
          </c:val>
          <c:smooth val="0"/>
        </c:ser>
        <c:ser>
          <c:idx val="3"/>
          <c:order val="3"/>
          <c:tx>
            <c:strRef>
              <c:f>'[input rede gouverneur.xlsx]W-Vl verpleegdagen'!$P$28</c:f>
              <c:strCache>
                <c:ptCount val="1"/>
                <c:pt idx="0">
                  <c:v>80+</c:v>
                </c:pt>
              </c:strCache>
            </c:strRef>
          </c:tx>
          <c:marker>
            <c:symbol val="square"/>
            <c:size val="10"/>
            <c:spPr>
              <a:blipFill>
                <a:blip xmlns:r="http://schemas.openxmlformats.org/officeDocument/2006/relationships" r:embed="rId1"/>
                <a:stretch>
                  <a:fillRect/>
                </a:stretch>
              </a:blipFill>
            </c:spPr>
          </c:marker>
          <c:dPt>
            <c:idx val="1"/>
            <c:marker>
              <c:symbol val="square"/>
              <c:size val="8"/>
            </c:marker>
            <c:bubble3D val="0"/>
          </c:dPt>
          <c:dPt>
            <c:idx val="2"/>
            <c:marker>
              <c:symbol val="square"/>
              <c:size val="8"/>
            </c:marker>
            <c:bubble3D val="0"/>
          </c:dPt>
          <c:cat>
            <c:numRef>
              <c:f>'[input rede gouverneur.xlsx]W-Vl verpleegdagen'!$Q$24:$T$24</c:f>
              <c:numCache>
                <c:formatCode>General</c:formatCode>
                <c:ptCount val="4"/>
                <c:pt idx="0">
                  <c:v>2010</c:v>
                </c:pt>
                <c:pt idx="1">
                  <c:v>2015</c:v>
                </c:pt>
                <c:pt idx="2">
                  <c:v>2020</c:v>
                </c:pt>
                <c:pt idx="3">
                  <c:v>2025</c:v>
                </c:pt>
              </c:numCache>
            </c:numRef>
          </c:cat>
          <c:val>
            <c:numRef>
              <c:f>'[input rede gouverneur.xlsx]W-Vl verpleegdagen'!$Q$28:$T$28</c:f>
              <c:numCache>
                <c:formatCode>General</c:formatCode>
                <c:ptCount val="4"/>
                <c:pt idx="0">
                  <c:v>100</c:v>
                </c:pt>
                <c:pt idx="1">
                  <c:v>118.82770521540806</c:v>
                </c:pt>
                <c:pt idx="2">
                  <c:v>132.20887863232159</c:v>
                </c:pt>
                <c:pt idx="3">
                  <c:v>139.15397813883038</c:v>
                </c:pt>
              </c:numCache>
            </c:numRef>
          </c:val>
          <c:smooth val="0"/>
        </c:ser>
        <c:ser>
          <c:idx val="4"/>
          <c:order val="4"/>
          <c:tx>
            <c:strRef>
              <c:f>'[input rede gouverneur.xlsx]W-Vl verpleegdagen'!$P$29</c:f>
              <c:strCache>
                <c:ptCount val="1"/>
                <c:pt idx="0">
                  <c:v>totaal</c:v>
                </c:pt>
              </c:strCache>
            </c:strRef>
          </c:tx>
          <c:spPr>
            <a:ln>
              <a:solidFill>
                <a:srgbClr val="002060"/>
              </a:solidFill>
            </a:ln>
          </c:spPr>
          <c:marker>
            <c:spPr>
              <a:solidFill>
                <a:srgbClr val="002060"/>
              </a:solidFill>
              <a:ln>
                <a:solidFill>
                  <a:srgbClr val="002060"/>
                </a:solidFill>
              </a:ln>
            </c:spPr>
          </c:marker>
          <c:cat>
            <c:numRef>
              <c:f>'[input rede gouverneur.xlsx]W-Vl verpleegdagen'!$Q$24:$T$24</c:f>
              <c:numCache>
                <c:formatCode>General</c:formatCode>
                <c:ptCount val="4"/>
                <c:pt idx="0">
                  <c:v>2010</c:v>
                </c:pt>
                <c:pt idx="1">
                  <c:v>2015</c:v>
                </c:pt>
                <c:pt idx="2">
                  <c:v>2020</c:v>
                </c:pt>
                <c:pt idx="3">
                  <c:v>2025</c:v>
                </c:pt>
              </c:numCache>
            </c:numRef>
          </c:cat>
          <c:val>
            <c:numRef>
              <c:f>'[input rede gouverneur.xlsx]W-Vl verpleegdagen'!$Q$29:$T$29</c:f>
              <c:numCache>
                <c:formatCode>General</c:formatCode>
                <c:ptCount val="4"/>
                <c:pt idx="0">
                  <c:v>100</c:v>
                </c:pt>
                <c:pt idx="1">
                  <c:v>107.94390287843665</c:v>
                </c:pt>
                <c:pt idx="2">
                  <c:v>114.66236171157342</c:v>
                </c:pt>
                <c:pt idx="3">
                  <c:v>120.77343660705255</c:v>
                </c:pt>
              </c:numCache>
            </c:numRef>
          </c:val>
          <c:smooth val="0"/>
        </c:ser>
        <c:dLbls>
          <c:showLegendKey val="0"/>
          <c:showVal val="0"/>
          <c:showCatName val="0"/>
          <c:showSerName val="0"/>
          <c:showPercent val="0"/>
          <c:showBubbleSize val="0"/>
        </c:dLbls>
        <c:marker val="1"/>
        <c:smooth val="0"/>
        <c:axId val="116355584"/>
        <c:axId val="82672960"/>
      </c:lineChart>
      <c:catAx>
        <c:axId val="116355584"/>
        <c:scaling>
          <c:orientation val="minMax"/>
        </c:scaling>
        <c:delete val="0"/>
        <c:axPos val="b"/>
        <c:numFmt formatCode="General" sourceLinked="1"/>
        <c:majorTickMark val="out"/>
        <c:minorTickMark val="none"/>
        <c:tickLblPos val="nextTo"/>
        <c:crossAx val="82672960"/>
        <c:crosses val="autoZero"/>
        <c:auto val="1"/>
        <c:lblAlgn val="ctr"/>
        <c:lblOffset val="100"/>
        <c:noMultiLvlLbl val="0"/>
      </c:catAx>
      <c:valAx>
        <c:axId val="82672960"/>
        <c:scaling>
          <c:orientation val="minMax"/>
          <c:min val="80"/>
        </c:scaling>
        <c:delete val="0"/>
        <c:axPos val="l"/>
        <c:majorGridlines/>
        <c:numFmt formatCode="General" sourceLinked="1"/>
        <c:majorTickMark val="out"/>
        <c:minorTickMark val="none"/>
        <c:tickLblPos val="nextTo"/>
        <c:crossAx val="116355584"/>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Opleidingsniveau</a:t>
            </a:r>
            <a:r>
              <a:rPr lang="nl-BE" baseline="0"/>
              <a:t> 2013</a:t>
            </a:r>
            <a:br>
              <a:rPr lang="nl-BE" baseline="0"/>
            </a:br>
            <a:r>
              <a:rPr lang="nl-BE" baseline="0"/>
              <a:t>% van de actieve bevolking naar opleidingsniveau</a:t>
            </a:r>
            <a:endParaRPr lang="nl-BE"/>
          </a:p>
        </c:rich>
      </c:tx>
      <c:layout/>
      <c:overlay val="0"/>
      <c:spPr>
        <a:noFill/>
        <a:ln>
          <a:noFill/>
        </a:ln>
        <a:effectLst/>
      </c:spPr>
    </c:title>
    <c:autoTitleDeleted val="0"/>
    <c:plotArea>
      <c:layout/>
      <c:barChart>
        <c:barDir val="col"/>
        <c:grouping val="percentStacked"/>
        <c:varyColors val="0"/>
        <c:ser>
          <c:idx val="0"/>
          <c:order val="0"/>
          <c:tx>
            <c:strRef>
              <c:f>Sheet1!$A$2</c:f>
              <c:strCache>
                <c:ptCount val="1"/>
                <c:pt idx="0">
                  <c:v>GD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VL</c:v>
                </c:pt>
                <c:pt idx="1">
                  <c:v>WVL</c:v>
                </c:pt>
              </c:strCache>
            </c:strRef>
          </c:cat>
          <c:val>
            <c:numRef>
              <c:f>Sheet1!$B$2:$C$2</c:f>
              <c:numCache>
                <c:formatCode>General</c:formatCode>
                <c:ptCount val="2"/>
                <c:pt idx="0">
                  <c:v>3.7</c:v>
                </c:pt>
                <c:pt idx="1">
                  <c:v>2.8</c:v>
                </c:pt>
              </c:numCache>
            </c:numRef>
          </c:val>
        </c:ser>
        <c:ser>
          <c:idx val="1"/>
          <c:order val="1"/>
          <c:tx>
            <c:strRef>
              <c:f>Sheet1!$A$3</c:f>
              <c:strCache>
                <c:ptCount val="1"/>
                <c:pt idx="0">
                  <c:v>LO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VL</c:v>
                </c:pt>
                <c:pt idx="1">
                  <c:v>WVL</c:v>
                </c:pt>
              </c:strCache>
            </c:strRef>
          </c:cat>
          <c:val>
            <c:numRef>
              <c:f>Sheet1!$B$3:$C$3</c:f>
              <c:numCache>
                <c:formatCode>General</c:formatCode>
                <c:ptCount val="2"/>
                <c:pt idx="0">
                  <c:v>6.2</c:v>
                </c:pt>
                <c:pt idx="1">
                  <c:v>7.6</c:v>
                </c:pt>
              </c:numCache>
            </c:numRef>
          </c:val>
        </c:ser>
        <c:ser>
          <c:idx val="2"/>
          <c:order val="2"/>
          <c:tx>
            <c:strRef>
              <c:f>Sheet1!$A$4</c:f>
              <c:strCache>
                <c:ptCount val="1"/>
                <c:pt idx="0">
                  <c:v>LSO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VL</c:v>
                </c:pt>
                <c:pt idx="1">
                  <c:v>WVL</c:v>
                </c:pt>
              </c:strCache>
            </c:strRef>
          </c:cat>
          <c:val>
            <c:numRef>
              <c:f>Sheet1!$B$4:$C$4</c:f>
              <c:numCache>
                <c:formatCode>General</c:formatCode>
                <c:ptCount val="2"/>
                <c:pt idx="0">
                  <c:v>17.5</c:v>
                </c:pt>
                <c:pt idx="1">
                  <c:v>17.8</c:v>
                </c:pt>
              </c:numCache>
            </c:numRef>
          </c:val>
        </c:ser>
        <c:ser>
          <c:idx val="3"/>
          <c:order val="3"/>
          <c:tx>
            <c:strRef>
              <c:f>Sheet1!$A$5</c:f>
              <c:strCache>
                <c:ptCount val="1"/>
                <c:pt idx="0">
                  <c:v>HSO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VL</c:v>
                </c:pt>
                <c:pt idx="1">
                  <c:v>WVL</c:v>
                </c:pt>
              </c:strCache>
            </c:strRef>
          </c:cat>
          <c:val>
            <c:numRef>
              <c:f>Sheet1!$B$5:$C$5</c:f>
              <c:numCache>
                <c:formatCode>General</c:formatCode>
                <c:ptCount val="2"/>
                <c:pt idx="0">
                  <c:v>40.4</c:v>
                </c:pt>
                <c:pt idx="1">
                  <c:v>42.4</c:v>
                </c:pt>
              </c:numCache>
            </c:numRef>
          </c:val>
        </c:ser>
        <c:ser>
          <c:idx val="4"/>
          <c:order val="4"/>
          <c:tx>
            <c:strRef>
              <c:f>Sheet1!$A$6</c:f>
              <c:strCache>
                <c:ptCount val="1"/>
                <c:pt idx="0">
                  <c:v>HOKT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VL</c:v>
                </c:pt>
                <c:pt idx="1">
                  <c:v>WVL</c:v>
                </c:pt>
              </c:strCache>
            </c:strRef>
          </c:cat>
          <c:val>
            <c:numRef>
              <c:f>Sheet1!$B$6:$C$6</c:f>
              <c:numCache>
                <c:formatCode>General</c:formatCode>
                <c:ptCount val="2"/>
                <c:pt idx="0">
                  <c:v>15.5</c:v>
                </c:pt>
                <c:pt idx="1">
                  <c:v>15.6</c:v>
                </c:pt>
              </c:numCache>
            </c:numRef>
          </c:val>
        </c:ser>
        <c:ser>
          <c:idx val="5"/>
          <c:order val="5"/>
          <c:tx>
            <c:strRef>
              <c:f>Sheet1!$A$7</c:f>
              <c:strCache>
                <c:ptCount val="1"/>
                <c:pt idx="0">
                  <c:v>HOLT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VL</c:v>
                </c:pt>
                <c:pt idx="1">
                  <c:v>WVL</c:v>
                </c:pt>
              </c:strCache>
            </c:strRef>
          </c:cat>
          <c:val>
            <c:numRef>
              <c:f>Sheet1!$B$7:$C$7</c:f>
              <c:numCache>
                <c:formatCode>General</c:formatCode>
                <c:ptCount val="2"/>
                <c:pt idx="0">
                  <c:v>6.2</c:v>
                </c:pt>
                <c:pt idx="1">
                  <c:v>6.1</c:v>
                </c:pt>
              </c:numCache>
            </c:numRef>
          </c:val>
        </c:ser>
        <c:ser>
          <c:idx val="6"/>
          <c:order val="6"/>
          <c:tx>
            <c:strRef>
              <c:f>Sheet1!$A$8</c:f>
              <c:strCache>
                <c:ptCount val="1"/>
                <c:pt idx="0">
                  <c:v>UNIV</c:v>
                </c:pt>
              </c:strCache>
            </c:strRef>
          </c:tx>
          <c:spPr>
            <a:solidFill>
              <a:schemeClr val="accent5">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VL</c:v>
                </c:pt>
                <c:pt idx="1">
                  <c:v>WVL</c:v>
                </c:pt>
              </c:strCache>
            </c:strRef>
          </c:cat>
          <c:val>
            <c:numRef>
              <c:f>Sheet1!$B$8:$C$8</c:f>
              <c:numCache>
                <c:formatCode>General</c:formatCode>
                <c:ptCount val="2"/>
                <c:pt idx="0">
                  <c:v>10.6</c:v>
                </c:pt>
                <c:pt idx="1">
                  <c:v>7.7</c:v>
                </c:pt>
              </c:numCache>
            </c:numRef>
          </c:val>
        </c:ser>
        <c:dLbls>
          <c:showLegendKey val="0"/>
          <c:showVal val="0"/>
          <c:showCatName val="0"/>
          <c:showSerName val="0"/>
          <c:showPercent val="0"/>
          <c:showBubbleSize val="0"/>
        </c:dLbls>
        <c:gapWidth val="150"/>
        <c:overlap val="100"/>
        <c:axId val="117441024"/>
        <c:axId val="71116480"/>
      </c:barChart>
      <c:catAx>
        <c:axId val="11744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1116480"/>
        <c:crosses val="autoZero"/>
        <c:auto val="1"/>
        <c:lblAlgn val="ctr"/>
        <c:lblOffset val="100"/>
        <c:noMultiLvlLbl val="0"/>
      </c:catAx>
      <c:valAx>
        <c:axId val="71116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174410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1">
    <c:autoUpdate val="0"/>
  </c:externalData>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388</Words>
  <Characters>2135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Vlaaams Parlement</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Vlaams Parlement</dc:creator>
  <cp:lastModifiedBy>Decloedt Els</cp:lastModifiedBy>
  <cp:revision>3</cp:revision>
  <dcterms:created xsi:type="dcterms:W3CDTF">2014-11-03T09:56:00Z</dcterms:created>
  <dcterms:modified xsi:type="dcterms:W3CDTF">2014-11-03T09:56:00Z</dcterms:modified>
</cp:coreProperties>
</file>